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A9F5684" w14:paraId="2C078E63" wp14:textId="0BA1F5CD">
      <w:pPr>
        <w:rPr>
          <w:b w:val="1"/>
          <w:bCs w:val="1"/>
        </w:rPr>
      </w:pPr>
      <w:bookmarkStart w:name="_GoBack" w:id="0"/>
      <w:bookmarkEnd w:id="0"/>
      <w:r w:rsidRPr="0A9F5684" w:rsidR="698802D0">
        <w:rPr>
          <w:b w:val="1"/>
          <w:bCs w:val="1"/>
        </w:rPr>
        <w:t>Company Blurb</w:t>
      </w:r>
    </w:p>
    <w:p w:rsidR="7C7A3008" w:rsidP="0A9F5684" w:rsidRDefault="7C7A3008" w14:paraId="1ACAABCB" w14:textId="7DD643DC">
      <w:pPr>
        <w:pStyle w:val="Normal"/>
        <w:rPr>
          <w:b w:val="0"/>
          <w:bCs w:val="0"/>
        </w:rPr>
      </w:pPr>
      <w:r w:rsidR="7C7A3008">
        <w:rPr>
          <w:b w:val="0"/>
          <w:bCs w:val="0"/>
        </w:rPr>
        <w:t>Bringing 100+ collective years of alternative lending and specialty financing experience to small businesses in the USA.</w:t>
      </w:r>
    </w:p>
    <w:p w:rsidR="0A9F5684" w:rsidP="0A9F5684" w:rsidRDefault="0A9F5684" w14:paraId="3F47FFB3" w14:textId="614D837B">
      <w:pPr>
        <w:pStyle w:val="Normal"/>
        <w:rPr>
          <w:b w:val="0"/>
          <w:bCs w:val="0"/>
        </w:rPr>
      </w:pPr>
    </w:p>
    <w:p w:rsidR="7C7A3008" w:rsidP="0A9F5684" w:rsidRDefault="7C7A3008" w14:paraId="735E7393" w14:textId="6104A0FD">
      <w:pPr>
        <w:pStyle w:val="Normal"/>
        <w:rPr>
          <w:b w:val="1"/>
          <w:bCs w:val="1"/>
        </w:rPr>
      </w:pPr>
      <w:r w:rsidRPr="0A9F5684" w:rsidR="7C7A3008">
        <w:rPr>
          <w:b w:val="1"/>
          <w:bCs w:val="1"/>
        </w:rPr>
        <w:t>Company Description</w:t>
      </w:r>
    </w:p>
    <w:p w:rsidR="4B3397D1" w:rsidP="0A9F5684" w:rsidRDefault="4B3397D1" w14:paraId="795840CA" w14:textId="6399B1BD">
      <w:pPr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With over 70 years of combined experience within our leadership team alone, Alterna Capital Solutions brings first hand expertise to referral partners and small-business relationships across the country. The value we place on service, community, and trust is revealed in our vision and mission statements:</w:t>
      </w:r>
      <w:r>
        <w:br/>
      </w:r>
      <w:r>
        <w:br/>
      </w: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Our Vision: ACS is committed to helping businesses achieve greatness by delivering transparent financial solutions with concierge-level service.</w:t>
      </w:r>
      <w:r>
        <w:br/>
      </w:r>
      <w:r>
        <w:br/>
      </w: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Our Mission: Guided by the belief that we all do better when we all do better, we have a genuine desire to help business owners achieve their dreams, and strive to do this by providing our clients with business and financial solutions that evolve as their business evolves.</w:t>
      </w:r>
      <w:r>
        <w:br/>
      </w:r>
      <w:r>
        <w:br/>
      </w: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We work one-on-one with businesses to structure comprehensive solutions custom-tailored for each unique situation, across a variety of industries, including (but not limited to): Agriculture, Healthcare, IT Services/SaaS, Manufacturing, Services Companies, Staffing, Transportation/Logistics, and Wholesale/Distribution.</w:t>
      </w:r>
      <w:r>
        <w:br/>
      </w:r>
      <w:r>
        <w:br/>
      </w: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 xml:space="preserve"> Flexible Solutions:</w:t>
      </w:r>
    </w:p>
    <w:p w:rsidR="4B3397D1" w:rsidP="0A9F5684" w:rsidRDefault="4B3397D1" w14:paraId="55272B96" w14:textId="1E0987ED">
      <w:pPr>
        <w:pStyle w:val="ListParagraph"/>
        <w:numPr>
          <w:ilvl w:val="0"/>
          <w:numId w:val="1"/>
        </w:numPr>
        <w:jc w:val="both"/>
        <w:rPr>
          <w:rFonts w:ascii="Calibri" w:hAnsi="Calibri" w:eastAsia="Calibri" w:cs="Calibri"/>
          <w:b w:val="0"/>
          <w:bCs w:val="0"/>
          <w:i w:val="0"/>
          <w:iCs w:val="0"/>
          <w:color w:val="080707"/>
          <w:sz w:val="21"/>
          <w:szCs w:val="21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Invoice Financing with full-service accounts receivable management</w:t>
      </w:r>
    </w:p>
    <w:p w:rsidR="4B3397D1" w:rsidP="0A9F5684" w:rsidRDefault="4B3397D1" w14:paraId="5BBE3564" w14:textId="1C4359F8">
      <w:pPr>
        <w:pStyle w:val="ListParagraph"/>
        <w:numPr>
          <w:ilvl w:val="0"/>
          <w:numId w:val="1"/>
        </w:numPr>
        <w:jc w:val="both"/>
        <w:rPr>
          <w:rFonts w:ascii="Calibri" w:hAnsi="Calibri" w:eastAsia="Calibri" w:cs="Calibri"/>
          <w:b w:val="0"/>
          <w:bCs w:val="0"/>
          <w:i w:val="0"/>
          <w:iCs w:val="0"/>
          <w:color w:val="080707"/>
          <w:sz w:val="21"/>
          <w:szCs w:val="21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Asset-Based Lending (ABL) on accounts receivable, inventory, equipment, and commercial real estate</w:t>
      </w:r>
    </w:p>
    <w:p w:rsidR="4B3397D1" w:rsidP="0A9F5684" w:rsidRDefault="4B3397D1" w14:paraId="55F87780" w14:textId="71650FF8">
      <w:pPr>
        <w:pStyle w:val="ListParagraph"/>
        <w:numPr>
          <w:ilvl w:val="0"/>
          <w:numId w:val="1"/>
        </w:numPr>
        <w:jc w:val="both"/>
        <w:rPr>
          <w:rFonts w:ascii="Calibri" w:hAnsi="Calibri" w:eastAsia="Calibri" w:cs="Calibri"/>
          <w:b w:val="0"/>
          <w:bCs w:val="0"/>
          <w:i w:val="0"/>
          <w:iCs w:val="0"/>
          <w:color w:val="080707"/>
          <w:sz w:val="21"/>
          <w:szCs w:val="21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Credit Facilities up to $15 million</w:t>
      </w:r>
    </w:p>
    <w:p w:rsidR="4B3397D1" w:rsidP="0A9F5684" w:rsidRDefault="4B3397D1" w14:paraId="172F7435" w14:textId="2E93C9D9">
      <w:pPr>
        <w:pStyle w:val="ListParagraph"/>
        <w:numPr>
          <w:ilvl w:val="0"/>
          <w:numId w:val="1"/>
        </w:numPr>
        <w:jc w:val="both"/>
        <w:rPr>
          <w:rFonts w:ascii="Calibri" w:hAnsi="Calibri" w:eastAsia="Calibri" w:cs="Calibri"/>
          <w:b w:val="0"/>
          <w:bCs w:val="0"/>
          <w:i w:val="0"/>
          <w:iCs w:val="0"/>
          <w:color w:val="080707"/>
          <w:sz w:val="21"/>
          <w:szCs w:val="21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Complimentary Financing Options made available through ACS partners (PO Financing, International AR)</w:t>
      </w:r>
    </w:p>
    <w:p w:rsidR="4B3397D1" w:rsidP="0A9F5684" w:rsidRDefault="4B3397D1" w14:paraId="5CCF3E9E" w14:textId="21D5C419">
      <w:pPr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</w:pP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Financial Strength:</w:t>
      </w:r>
      <w:r>
        <w:br/>
      </w:r>
      <w:r>
        <w:br/>
      </w:r>
      <w:r w:rsidRPr="0A9F5684" w:rsidR="4B3397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80707"/>
          <w:sz w:val="21"/>
          <w:szCs w:val="21"/>
          <w:lang w:val="en-US"/>
        </w:rPr>
        <w:t>Over $100 million in capital is available from initial funding through strategic partnerships that include Alterna Equity Partners (AEP), a private equity investment firm based in South Florida. AEP’s operating businesses oversee more than $1 billion in assets across several funds, portfolio companies, and co-investments.</w:t>
      </w:r>
    </w:p>
    <w:p w:rsidR="0A9F5684" w:rsidP="0A9F5684" w:rsidRDefault="0A9F5684" w14:paraId="39401CA1" w14:textId="3B1B5705">
      <w:pPr>
        <w:pStyle w:val="Normal"/>
        <w:rPr>
          <w:b w:val="1"/>
          <w:bCs w:val="1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A49229"/>
    <w:rsid w:val="0A9F5684"/>
    <w:rsid w:val="15A49229"/>
    <w:rsid w:val="4B3397D1"/>
    <w:rsid w:val="5DDC128C"/>
    <w:rsid w:val="698802D0"/>
    <w:rsid w:val="73BF94B8"/>
    <w:rsid w:val="7C7A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49229"/>
  <w15:chartTrackingRefBased/>
  <w15:docId w15:val="{5289AF23-E553-4A62-9663-7EE2B2AC98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7fae7927449e41bb" Type="http://schemas.openxmlformats.org/officeDocument/2006/relationships/numbering" Target="/word/numbering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0E5E4E49112449A1C687D34EC3B933" ma:contentTypeVersion="13" ma:contentTypeDescription="Create a new document." ma:contentTypeScope="" ma:versionID="3c8c735f8a570047df628fe2a0b96ebb">
  <xsd:schema xmlns:xsd="http://www.w3.org/2001/XMLSchema" xmlns:xs="http://www.w3.org/2001/XMLSchema" xmlns:p="http://schemas.microsoft.com/office/2006/metadata/properties" xmlns:ns2="a2518ee5-3692-4ad6-85af-ad3e82f1f053" xmlns:ns3="90f41274-4edc-4f68-a53a-ff1f9ca118ad" targetNamespace="http://schemas.microsoft.com/office/2006/metadata/properties" ma:root="true" ma:fieldsID="82918c28b44de3e69a7c7ac38e203e79" ns2:_="" ns3:_="">
    <xsd:import namespace="a2518ee5-3692-4ad6-85af-ad3e82f1f053"/>
    <xsd:import namespace="90f41274-4edc-4f68-a53a-ff1f9ca118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518ee5-3692-4ad6-85af-ad3e82f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41274-4edc-4f68-a53a-ff1f9ca11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518ee5-3692-4ad6-85af-ad3e82f1f053">
      <UserInfo>
        <DisplayName/>
        <AccountId xsi:nil="true"/>
        <AccountType/>
      </UserInfo>
    </SharedWithUsers>
    <MediaLengthInSeconds xmlns="90f41274-4edc-4f68-a53a-ff1f9ca118ad" xsi:nil="true"/>
  </documentManagement>
</p:properties>
</file>

<file path=customXml/itemProps1.xml><?xml version="1.0" encoding="utf-8"?>
<ds:datastoreItem xmlns:ds="http://schemas.openxmlformats.org/officeDocument/2006/customXml" ds:itemID="{FC629288-44E6-4A3E-9B6A-9A3F83550C14}"/>
</file>

<file path=customXml/itemProps2.xml><?xml version="1.0" encoding="utf-8"?>
<ds:datastoreItem xmlns:ds="http://schemas.openxmlformats.org/officeDocument/2006/customXml" ds:itemID="{B91E3902-2C1E-462D-B2EF-63B0FE30DA05}"/>
</file>

<file path=customXml/itemProps3.xml><?xml version="1.0" encoding="utf-8"?>
<ds:datastoreItem xmlns:ds="http://schemas.openxmlformats.org/officeDocument/2006/customXml" ds:itemID="{03D6F701-43B0-4549-8C12-99FF79133B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Cabanig</dc:creator>
  <cp:keywords/>
  <dc:description/>
  <cp:lastModifiedBy>Joy Cabanig</cp:lastModifiedBy>
  <dcterms:created xsi:type="dcterms:W3CDTF">2021-10-26T17:00:31Z</dcterms:created>
  <dcterms:modified xsi:type="dcterms:W3CDTF">2021-10-26T17:06:26Z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0x010100F70E5E4E49112449A1C687D34EC3B933</vt:lpwstr>
  </property>
  <property fmtid="{D5CDD505-2E9C-101B-9397-08002B2CF9AE}" pid="3" name="Order">
    <vt:r8>2903000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